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00" w:before="200" w:line="240" w:lineRule="auto"/>
        <w:ind w:left="1713" w:right="0" w:hanging="72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JUSTIFICATIVA EM RELAÇÃO AO REGIME DA EMPREITADA, MAIOR DESCONTO UNITÁRIO E ESCOLHA DO RDC.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68" w:right="0" w:hanging="36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Em relação ao regime de empreitada – PREÇO UNITÁRIO</w:t>
      </w:r>
    </w:p>
    <w:p w:rsidR="00000000" w:rsidDel="00000000" w:rsidP="00000000" w:rsidRDefault="00000000" w:rsidRPr="00000000" w14:paraId="00000003">
      <w:pPr>
        <w:ind w:firstLine="708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Inicialmente destacamos que o Roteiro de Auditoria de Obras Públicas, cuja segunda revisão foi aprovada pela Portaria-SEGECEX nº 33, de 07 de novembro de 2012, publicada no Boletim do Tribunal de Contas de União de 11 de dezembro de 2013, traz um interessante diagnóstico sobre o tema:</w:t>
      </w:r>
    </w:p>
    <w:p w:rsidR="00000000" w:rsidDel="00000000" w:rsidP="00000000" w:rsidRDefault="00000000" w:rsidRPr="00000000" w14:paraId="00000004">
      <w:pPr>
        <w:ind w:left="2124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321. As maiores controvérsias quanto à escolha e à operacionalização de determinado regime de execução referem-se às empreitadas. Pela letra da lei, não fica claro como e quando utilizar cada um dos regimes de execução por empreitada definidos pelo legislador.</w:t>
      </w:r>
    </w:p>
    <w:p w:rsidR="00000000" w:rsidDel="00000000" w:rsidP="00000000" w:rsidRDefault="00000000" w:rsidRPr="00000000" w14:paraId="00000005">
      <w:pPr>
        <w:ind w:left="2124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322. A escolha do regime de execução da obra não é decisão de livre arbítrio do gestor,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visto que deve ser pautada pelo interesse público e estar sempre motivada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, pois impactará as relações entre contratado e contratante, as medições do contrato firmado, seus aditivos, entre outros fatores relacionados à gestão do empreendimento contratado.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Decorre desse entendimento a constatação de que não existe, em tese, um regime de execução melhor que outro, e sim um regime que, no caso concreto, melhor atende ao interesse público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. (TCU, 2012: 76 – sublinhado nosso)</w:t>
      </w:r>
    </w:p>
    <w:p w:rsidR="00000000" w:rsidDel="00000000" w:rsidP="00000000" w:rsidRDefault="00000000" w:rsidRPr="00000000" w14:paraId="00000006">
      <w:pPr>
        <w:ind w:firstLine="708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firstLine="708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Os “regimes de empreitada” referidos no título nada mais são do que os regimes de execução previstos na Lei nº 8.666/93 (Lei de Licitações e Contratos – LLC). Entende-se por regime de execução “a forma pela qual o objeto do contrato será executado” (TCU, 2010: 674), conforme esteja planejando a administração. A LLC arrola quatro regimes de execução indireta, a saber: a) empreitada por preço global; b) empreitada por preço unitário; c) tarefa e d) empreitada integral.</w:t>
      </w:r>
    </w:p>
    <w:p w:rsidR="00000000" w:rsidDel="00000000" w:rsidP="00000000" w:rsidRDefault="00000000" w:rsidRPr="00000000" w14:paraId="00000008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ab/>
        <w:t xml:space="preserve">A opção pelo regime de preço unitário se deu pela característica do objeto e pelo interesse público. Considerando que: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65" w:right="0" w:hanging="36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Trata-se de uma obra de pequeno valor;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65" w:right="0" w:hanging="36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Trata-se de questões relacionadas a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 reforma de telhado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65" w:right="0" w:hanging="36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existência de poucos itens envolvidos;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65" w:right="0" w:hanging="36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destinação de sua execução por empresas de pequeno porte e a condição de caixa destas empresas. </w:t>
      </w:r>
    </w:p>
    <w:p w:rsidR="00000000" w:rsidDel="00000000" w:rsidP="00000000" w:rsidRDefault="00000000" w:rsidRPr="00000000" w14:paraId="0000000D">
      <w:pPr>
        <w:ind w:firstLine="708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 entendimento da administração neste caso é que o enquadramento na empreitada por preço unitário é o mais adequando ao caso em tela. Como bem colocam Moreira e Guimarães, “a definição do regime de execução é relevante para definir a disciplina jurídica da remuneração do contratado e as consequências de seu inadimplemento” (2012: 194). Em certa ocasião, o TCU entendeu, assim como a doutrina, que o regime de execução deveria ser escolhido em função da forma de pagamento a ser feita, exarando a seguinte recomendação: “Estabeleça o regime de execução contratual de acordo com o critério de apuração do valor a ser pago ao particular, observando os conceitos fixados no art. 6º, inciso VIII, alíneas a e b, da Lei no 8.666/1993” (Acórdão nº 337/2005 Plenário) – sublinhamos. Na mesma linha de entendimento, Altounian assevera que “a diferença básica [entre a empreitada por preço unitário e a empreitada global] está na forma em que os serviços contratados serão medidos e pagos” (2012: 187).</w:t>
      </w:r>
    </w:p>
    <w:p w:rsidR="00000000" w:rsidDel="00000000" w:rsidP="00000000" w:rsidRDefault="00000000" w:rsidRPr="00000000" w14:paraId="0000000E">
      <w:pPr>
        <w:ind w:firstLine="708"/>
        <w:jc w:val="both"/>
        <w:rPr>
          <w:rFonts w:ascii="Arial" w:cs="Arial" w:eastAsia="Arial" w:hAnsi="Arial"/>
          <w:color w:val="103e7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Neste sentido não queremos impedir empresas da região de pequeno porte de impedir sua participação, como forma de desenvolver a economia local. Em razão das características da obra e de seu cronograma o pagamento faseado por meio de medições frequentes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viabilizará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uma competição maior e uma correção entre o executado e pago, mantendo o equilíbrio econômico financeiro, pois a margem de lucro das empresas é pequeno pelo montante envolvido na obra e se não o fizermos por meio de medição, podemos ter uma licitação deserta. Nosso entender coaduna como o que dispõe o art. 14 do Decreto nº 7.983/2013, que estabelece regras e critérios para elaboração do orçamento de referência de obras e serviços de engenharia, contratados e executados com recursos dos orçamentos da União.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1416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Art. 14.  A diferença percentual entre o valor global do contrato e o preço global de referência não poderá ser reduzida em favor do contratado em decorrência de aditamentos que modifiquem a planilha orçamentária.</w:t>
      </w:r>
    </w:p>
    <w:p w:rsidR="00000000" w:rsidDel="00000000" w:rsidP="00000000" w:rsidRDefault="00000000" w:rsidRPr="00000000" w14:paraId="00000010">
      <w:pPr>
        <w:ind w:left="1416" w:firstLine="0"/>
        <w:jc w:val="both"/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Parágrafo único. 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Em caso de adoção dos regimes de empreitada por preço unitário e tarefa, a diferença a que se refere o caput poderá ser reduzida para a preservação do equilíbrio econômico-financeiro do contrato em casos excepcionais e justificados, desde que os custos unitários dos aditivos contratuais não excedam os custos unitários do sistema de referência utilizado na forma deste Decreto, assegurada a manutenção da vantagem da proposta vencedora ante a da segunda colocada na licitação.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68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68" w:right="0" w:hanging="36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Critério de Julgamento da Proposta – Maior desconto unitário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68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firstLine="708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 critério mais comum de julgamento é a avaliação do preço global da proposta. No entanto, ele não é suficiente para garantir a escolha da proposta mais vantajosa para a Administração. Para isso, é necessário que o edital preveja o controle dos preços unitários de cada item da planilha e estabeleça o critério de aceitabilidade desses valores</w:t>
      </w:r>
    </w:p>
    <w:p w:rsidR="00000000" w:rsidDel="00000000" w:rsidP="00000000" w:rsidRDefault="00000000" w:rsidRPr="00000000" w14:paraId="00000015">
      <w:pPr>
        <w:ind w:firstLine="708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No caso específico do RDC o artigo 25 do Decreto nº 7.581/2011, estabeleceu:</w:t>
      </w:r>
    </w:p>
    <w:p w:rsidR="00000000" w:rsidDel="00000000" w:rsidP="00000000" w:rsidRDefault="00000000" w:rsidRPr="00000000" w14:paraId="00000016">
      <w:pPr>
        <w:spacing w:after="0" w:line="240" w:lineRule="auto"/>
        <w:ind w:left="2832" w:firstLine="708.0000000000001"/>
        <w:jc w:val="both"/>
        <w:rPr>
          <w:rFonts w:ascii="Arial" w:cs="Arial" w:eastAsia="Arial" w:hAnsi="Arial"/>
          <w:i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Art. 25.  Poderão ser utilizados como critérios de julgamento:</w:t>
      </w:r>
    </w:p>
    <w:p w:rsidR="00000000" w:rsidDel="00000000" w:rsidP="00000000" w:rsidRDefault="00000000" w:rsidRPr="00000000" w14:paraId="00000017">
      <w:pPr>
        <w:spacing w:after="0" w:line="240" w:lineRule="auto"/>
        <w:ind w:left="2832" w:firstLine="708.0000000000001"/>
        <w:jc w:val="both"/>
        <w:rPr>
          <w:rFonts w:ascii="Arial" w:cs="Arial" w:eastAsia="Arial" w:hAnsi="Arial"/>
          <w:b w:val="1"/>
          <w:i w:val="1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i w:val="1"/>
          <w:color w:val="000000"/>
          <w:sz w:val="24"/>
          <w:szCs w:val="24"/>
          <w:u w:val="single"/>
          <w:rtl w:val="0"/>
        </w:rPr>
        <w:t xml:space="preserve">I - menor preço ou maior desconto;</w:t>
      </w:r>
    </w:p>
    <w:p w:rsidR="00000000" w:rsidDel="00000000" w:rsidP="00000000" w:rsidRDefault="00000000" w:rsidRPr="00000000" w14:paraId="00000018">
      <w:pPr>
        <w:spacing w:after="0" w:line="240" w:lineRule="auto"/>
        <w:ind w:left="3540" w:firstLine="0"/>
        <w:jc w:val="both"/>
        <w:rPr>
          <w:rFonts w:ascii="Arial" w:cs="Arial" w:eastAsia="Arial" w:hAnsi="Arial"/>
          <w:i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(...)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68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firstLine="708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 Tema ainda foi contemplando nos artigos 26 e 27 do referido decreto:</w:t>
      </w:r>
    </w:p>
    <w:p w:rsidR="00000000" w:rsidDel="00000000" w:rsidP="00000000" w:rsidRDefault="00000000" w:rsidRPr="00000000" w14:paraId="0000001B">
      <w:pPr>
        <w:spacing w:after="0" w:line="240" w:lineRule="auto"/>
        <w:ind w:left="2832" w:firstLine="708.0000000000001"/>
        <w:jc w:val="both"/>
        <w:rPr>
          <w:rFonts w:ascii="Arial" w:cs="Arial" w:eastAsia="Arial" w:hAnsi="Arial"/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ind w:left="2832" w:firstLine="708.0000000000001"/>
        <w:jc w:val="both"/>
        <w:rPr>
          <w:rFonts w:ascii="Arial" w:cs="Arial" w:eastAsia="Arial" w:hAnsi="Arial"/>
          <w:i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Art. 26.  O critério de julgamento pelo menor preço ou maior desconto considerará o menor dispêndio para a administração pública, atendidos os parâmetros mínimos de qualidade definidos no instrumento convocatório. </w:t>
      </w:r>
    </w:p>
    <w:p w:rsidR="00000000" w:rsidDel="00000000" w:rsidP="00000000" w:rsidRDefault="00000000" w:rsidRPr="00000000" w14:paraId="0000001D">
      <w:pPr>
        <w:spacing w:after="0" w:line="240" w:lineRule="auto"/>
        <w:ind w:left="2832" w:firstLine="708.0000000000001"/>
        <w:jc w:val="both"/>
        <w:rPr>
          <w:rFonts w:ascii="Arial" w:cs="Arial" w:eastAsia="Arial" w:hAnsi="Arial"/>
          <w:i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(...)</w:t>
      </w:r>
    </w:p>
    <w:bookmarkStart w:colFirst="0" w:colLast="0" w:name="bookmark=id.gjdgxs" w:id="0"/>
    <w:bookmarkEnd w:id="0"/>
    <w:p w:rsidR="00000000" w:rsidDel="00000000" w:rsidP="00000000" w:rsidRDefault="00000000" w:rsidRPr="00000000" w14:paraId="0000001E">
      <w:pPr>
        <w:spacing w:after="0" w:line="240" w:lineRule="auto"/>
        <w:ind w:left="2832" w:firstLine="708.0000000000001"/>
        <w:jc w:val="both"/>
        <w:rPr>
          <w:rFonts w:ascii="Arial" w:cs="Arial" w:eastAsia="Arial" w:hAnsi="Arial"/>
          <w:i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Art. 27.  O critério de julgamento por maior desconto utilizará como referência o preço total estimado, fixado pelo instrumento convocatório.  </w:t>
      </w:r>
    </w:p>
    <w:p w:rsidR="00000000" w:rsidDel="00000000" w:rsidP="00000000" w:rsidRDefault="00000000" w:rsidRPr="00000000" w14:paraId="0000001F">
      <w:pPr>
        <w:spacing w:after="0" w:line="240" w:lineRule="auto"/>
        <w:ind w:left="2832" w:firstLine="708.0000000000001"/>
        <w:jc w:val="both"/>
        <w:rPr>
          <w:rFonts w:ascii="Arial" w:cs="Arial" w:eastAsia="Arial" w:hAnsi="Arial"/>
          <w:i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Parágrafo único.  No caso de obras ou serviços de engenharia, o percentual de desconto apresentado pelos licitantes incidirá linearmente sobre os preços de todos os itens do orçamento estimado constante do instrumento convocatório</w:t>
      </w:r>
    </w:p>
    <w:p w:rsidR="00000000" w:rsidDel="00000000" w:rsidP="00000000" w:rsidRDefault="00000000" w:rsidRPr="00000000" w14:paraId="00000020">
      <w:pPr>
        <w:spacing w:after="120" w:before="280" w:line="240" w:lineRule="auto"/>
        <w:ind w:left="2832" w:firstLine="708.0000000000001"/>
        <w:jc w:val="both"/>
        <w:rPr>
          <w:rFonts w:ascii="Arial" w:cs="Arial" w:eastAsia="Arial" w:hAnsi="Arial"/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firstLine="708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Neste sentido em consonância com a legislação o critério de julgamento será o maior desconto unitário que deverá ser linear em todos os preços de todos os itens do orçamento estimado no ativo convocatório.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68" w:right="0" w:hanging="72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68" w:right="0" w:hanging="36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Escolha do RDC</w:t>
      </w:r>
    </w:p>
    <w:p w:rsidR="00000000" w:rsidDel="00000000" w:rsidP="00000000" w:rsidRDefault="00000000" w:rsidRPr="00000000" w14:paraId="00000024">
      <w:pPr>
        <w:ind w:firstLine="708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Tendo em vista que a Lei nº 12.462, de 04 de agosto de 2011, instituiu o Regime Diferenciado de Contratações e em seu artigo 1º definiu:</w:t>
      </w:r>
    </w:p>
    <w:p w:rsidR="00000000" w:rsidDel="00000000" w:rsidP="00000000" w:rsidRDefault="00000000" w:rsidRPr="00000000" w14:paraId="00000025">
      <w:pPr>
        <w:spacing w:after="0" w:line="240" w:lineRule="auto"/>
        <w:ind w:left="2829" w:firstLine="0"/>
        <w:jc w:val="both"/>
        <w:rPr>
          <w:rFonts w:ascii="Arial" w:cs="Arial" w:eastAsia="Arial" w:hAnsi="Arial"/>
          <w:i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Art. 1ª  É instituído o Regime Diferenciado de Contratações Públicas (RDC), aplicável exclusivamente às licitações e contratos necessários à realização:</w:t>
      </w:r>
    </w:p>
    <w:p w:rsidR="00000000" w:rsidDel="00000000" w:rsidP="00000000" w:rsidRDefault="00000000" w:rsidRPr="00000000" w14:paraId="00000026">
      <w:pPr>
        <w:spacing w:after="0" w:line="240" w:lineRule="auto"/>
        <w:ind w:left="2829" w:firstLine="708.0000000000001"/>
        <w:jc w:val="both"/>
        <w:rPr>
          <w:rFonts w:ascii="Arial" w:cs="Arial" w:eastAsia="Arial" w:hAnsi="Arial"/>
          <w:i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 (...)</w:t>
      </w:r>
    </w:p>
    <w:p w:rsidR="00000000" w:rsidDel="00000000" w:rsidP="00000000" w:rsidRDefault="00000000" w:rsidRPr="00000000" w14:paraId="00000027">
      <w:pPr>
        <w:spacing w:after="0" w:line="240" w:lineRule="auto"/>
        <w:ind w:left="2829" w:firstLine="0"/>
        <w:jc w:val="both"/>
        <w:rPr>
          <w:rFonts w:ascii="Arial" w:cs="Arial" w:eastAsia="Arial" w:hAnsi="Arial"/>
          <w:i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§ 3º  Além das hipóteses previstas no caput, o RDC também é aplicável às licitações e aos contratos necessários à realização de obras e </w:t>
      </w:r>
      <w:r w:rsidDel="00000000" w:rsidR="00000000" w:rsidRPr="00000000">
        <w:rPr>
          <w:rFonts w:ascii="Arial" w:cs="Arial" w:eastAsia="Arial" w:hAnsi="Arial"/>
          <w:b w:val="1"/>
          <w:i w:val="1"/>
          <w:color w:val="000000"/>
          <w:sz w:val="24"/>
          <w:szCs w:val="24"/>
          <w:rtl w:val="0"/>
        </w:rPr>
        <w:t xml:space="preserve">serviços de engenharia no âmbito dos sistemas públicos de ensino e de pesquisa, ciência e tecnologia.</w:t>
      </w: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       </w:t>
      </w:r>
    </w:p>
    <w:p w:rsidR="00000000" w:rsidDel="00000000" w:rsidP="00000000" w:rsidRDefault="00000000" w:rsidRPr="00000000" w14:paraId="00000028">
      <w:pPr>
        <w:ind w:firstLine="708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firstLine="708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 IFRS é uma autarquia do Governo Federal destinada ao ensino, pesquisa e extensão criado pela Lei nº 11.892, de 29 de dezembro de 2008, que instituiu a Rede Federal de Educação Profissional, Científica e Tecnológica com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natureza jurídica de autarquia, detentoras de autonomia administrativa, patrimonial, financeira, didático-pedagógica e disciplinar e que tem por finalidade e característica, conforme seu artigo 6º:</w:t>
      </w:r>
    </w:p>
    <w:p w:rsidR="00000000" w:rsidDel="00000000" w:rsidP="00000000" w:rsidRDefault="00000000" w:rsidRPr="00000000" w14:paraId="0000002A">
      <w:pPr>
        <w:spacing w:after="0" w:line="240" w:lineRule="auto"/>
        <w:ind w:left="2829" w:firstLine="708.0000000000001"/>
        <w:jc w:val="both"/>
        <w:rPr>
          <w:rFonts w:ascii="Arial" w:cs="Arial" w:eastAsia="Arial" w:hAnsi="Arial"/>
          <w:i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Art. 6º  Os Institutos Federais têm por finalidades e características:</w:t>
      </w:r>
    </w:p>
    <w:p w:rsidR="00000000" w:rsidDel="00000000" w:rsidP="00000000" w:rsidRDefault="00000000" w:rsidRPr="00000000" w14:paraId="0000002B">
      <w:pPr>
        <w:spacing w:after="0" w:line="240" w:lineRule="auto"/>
        <w:ind w:left="2829" w:firstLine="708.0000000000001"/>
        <w:jc w:val="both"/>
        <w:rPr>
          <w:rFonts w:ascii="Arial" w:cs="Arial" w:eastAsia="Arial" w:hAnsi="Arial"/>
          <w:i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I - ofertar educação profissional e tecnológica, em todos os seus níveis e modalidades, formando e qualificando cidadãos com vistas na atuação profissional nos diversos setores da economia, com ênfase no desenvolvimento socioeconômico local, regional e nacional;</w:t>
      </w:r>
    </w:p>
    <w:p w:rsidR="00000000" w:rsidDel="00000000" w:rsidP="00000000" w:rsidRDefault="00000000" w:rsidRPr="00000000" w14:paraId="0000002C">
      <w:pPr>
        <w:spacing w:after="0" w:line="240" w:lineRule="auto"/>
        <w:ind w:left="2829" w:firstLine="708.0000000000001"/>
        <w:jc w:val="both"/>
        <w:rPr>
          <w:rFonts w:ascii="Arial" w:cs="Arial" w:eastAsia="Arial" w:hAnsi="Arial"/>
          <w:i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II - desenvolver a educação profissional e tecnológica como processo educativo e investigativo de geração e adaptação de soluções técnicas e tecnológicas às demandas sociais e peculiaridades regionais;</w:t>
      </w:r>
    </w:p>
    <w:p w:rsidR="00000000" w:rsidDel="00000000" w:rsidP="00000000" w:rsidRDefault="00000000" w:rsidRPr="00000000" w14:paraId="0000002D">
      <w:pPr>
        <w:spacing w:after="0" w:line="240" w:lineRule="auto"/>
        <w:ind w:left="2829" w:firstLine="708.0000000000001"/>
        <w:jc w:val="both"/>
        <w:rPr>
          <w:rFonts w:ascii="Arial" w:cs="Arial" w:eastAsia="Arial" w:hAnsi="Arial"/>
          <w:i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III - promover a integração e a verticalização da educação básica à educação profissional e educação superior, otimizando a infra-estrutura física, os quadros de pessoal e os recursos de gestão;</w:t>
      </w:r>
    </w:p>
    <w:p w:rsidR="00000000" w:rsidDel="00000000" w:rsidP="00000000" w:rsidRDefault="00000000" w:rsidRPr="00000000" w14:paraId="0000002E">
      <w:pPr>
        <w:spacing w:after="0" w:line="240" w:lineRule="auto"/>
        <w:ind w:left="2829" w:firstLine="708.0000000000001"/>
        <w:jc w:val="both"/>
        <w:rPr>
          <w:rFonts w:ascii="Arial" w:cs="Arial" w:eastAsia="Arial" w:hAnsi="Arial"/>
          <w:i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IV - orientar sua oferta formativa em benefício da consolidação e fortalecimento dos arranjos produtivos, sociais e culturais locais, identificados com base no mapeamento das potencialidades de desenvolvimento socioeconômico e cultural no âmbito de atuação do Instituto Federal;</w:t>
      </w:r>
    </w:p>
    <w:p w:rsidR="00000000" w:rsidDel="00000000" w:rsidP="00000000" w:rsidRDefault="00000000" w:rsidRPr="00000000" w14:paraId="0000002F">
      <w:pPr>
        <w:spacing w:after="0" w:line="240" w:lineRule="auto"/>
        <w:ind w:left="2829" w:firstLine="708.0000000000001"/>
        <w:jc w:val="both"/>
        <w:rPr>
          <w:rFonts w:ascii="Arial" w:cs="Arial" w:eastAsia="Arial" w:hAnsi="Arial"/>
          <w:i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V - constituir-se em centro de excelência na oferta do ensino de ciências, em geral, e de ciências aplicadas, em particular, estimulando o desenvolvimento de espírito crítico, voltado à investigação empírica;</w:t>
      </w:r>
    </w:p>
    <w:p w:rsidR="00000000" w:rsidDel="00000000" w:rsidP="00000000" w:rsidRDefault="00000000" w:rsidRPr="00000000" w14:paraId="00000030">
      <w:pPr>
        <w:spacing w:after="0" w:line="240" w:lineRule="auto"/>
        <w:ind w:left="2829" w:firstLine="0"/>
        <w:jc w:val="both"/>
        <w:rPr>
          <w:rFonts w:ascii="Arial" w:cs="Arial" w:eastAsia="Arial" w:hAnsi="Arial"/>
          <w:i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VI - qualificar-se como centro de referência no apoio à oferta do ensino de ciências nas instituições públicas de ensino, oferecendo capacitação técnica e atualização pedagógica aos docentes das redes públicas de ensino;</w:t>
      </w:r>
    </w:p>
    <w:p w:rsidR="00000000" w:rsidDel="00000000" w:rsidP="00000000" w:rsidRDefault="00000000" w:rsidRPr="00000000" w14:paraId="00000031">
      <w:pPr>
        <w:spacing w:after="0" w:line="240" w:lineRule="auto"/>
        <w:ind w:left="2829" w:firstLine="0"/>
        <w:jc w:val="both"/>
        <w:rPr>
          <w:rFonts w:ascii="Arial" w:cs="Arial" w:eastAsia="Arial" w:hAnsi="Arial"/>
          <w:i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VII - desenvolver programas de extensão e de divulgação científica e tecnológica;</w:t>
      </w:r>
    </w:p>
    <w:p w:rsidR="00000000" w:rsidDel="00000000" w:rsidP="00000000" w:rsidRDefault="00000000" w:rsidRPr="00000000" w14:paraId="00000032">
      <w:pPr>
        <w:spacing w:after="0" w:line="240" w:lineRule="auto"/>
        <w:ind w:left="2829" w:firstLine="0"/>
        <w:jc w:val="both"/>
        <w:rPr>
          <w:rFonts w:ascii="Arial" w:cs="Arial" w:eastAsia="Arial" w:hAnsi="Arial"/>
          <w:i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VIII - realizar e estimular a pesquisa aplicada, a produção cultural, o empreendedorismo, o cooperativismo e o desenvolvimento científico e tecnológico;</w:t>
      </w:r>
    </w:p>
    <w:p w:rsidR="00000000" w:rsidDel="00000000" w:rsidP="00000000" w:rsidRDefault="00000000" w:rsidRPr="00000000" w14:paraId="00000033">
      <w:pPr>
        <w:spacing w:after="0" w:line="240" w:lineRule="auto"/>
        <w:ind w:left="2829" w:firstLine="0"/>
        <w:jc w:val="both"/>
        <w:rPr>
          <w:rFonts w:ascii="Arial" w:cs="Arial" w:eastAsia="Arial" w:hAnsi="Arial"/>
          <w:i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IX - promover a produção, o desenvolvimento e a transferência de tecnologias sociais, notadamente as voltadas à preservação do meio ambiente.</w:t>
      </w:r>
    </w:p>
    <w:p w:rsidR="00000000" w:rsidDel="00000000" w:rsidP="00000000" w:rsidRDefault="00000000" w:rsidRPr="00000000" w14:paraId="00000034">
      <w:pPr>
        <w:spacing w:after="0" w:line="240" w:lineRule="auto"/>
        <w:ind w:left="2829" w:firstLine="0"/>
        <w:jc w:val="both"/>
        <w:rPr>
          <w:rFonts w:ascii="Arial" w:cs="Arial" w:eastAsia="Arial" w:hAnsi="Arial"/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ind w:firstLine="708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Neste sentido objetivando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ampliar a eficiência nas contratações públicas e a competitividade entre os licitantes</w:t>
      </w:r>
      <w:bookmarkStart w:colFirst="0" w:colLast="0" w:name="bookmark=id.30j0zll" w:id="1"/>
      <w:bookmarkEnd w:id="1"/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 assegurar tratamento isonômico entre os licitantes e a seleção da proposta mais vantajosa para a administração pública optamos neste caso pelo RDC para a licitação em questão.</w:t>
      </w:r>
    </w:p>
    <w:p w:rsidR="00000000" w:rsidDel="00000000" w:rsidP="00000000" w:rsidRDefault="00000000" w:rsidRPr="00000000" w14:paraId="00000036">
      <w:pPr>
        <w:spacing w:after="0" w:line="240" w:lineRule="auto"/>
        <w:ind w:left="708" w:firstLine="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jc w:val="center"/>
        <w:rPr>
          <w:rFonts w:ascii="Arial" w:cs="Arial" w:eastAsia="Arial" w:hAnsi="Arial"/>
          <w:sz w:val="24"/>
          <w:szCs w:val="24"/>
        </w:rPr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jc w:val="center"/>
        <w:rPr>
          <w:rFonts w:ascii="Arial" w:cs="Arial" w:eastAsia="Arial" w:hAnsi="Arial"/>
          <w:sz w:val="24"/>
          <w:szCs w:val="24"/>
        </w:rPr>
      </w:pPr>
      <w:bookmarkStart w:colFirst="0" w:colLast="0" w:name="_heading=h.k8z50g78fffo" w:id="3"/>
      <w:bookmarkEnd w:id="3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Bento Gonçalves, 23 de junho de 2020.</w:t>
      </w:r>
    </w:p>
    <w:p w:rsidR="00000000" w:rsidDel="00000000" w:rsidP="00000000" w:rsidRDefault="00000000" w:rsidRPr="00000000" w14:paraId="00000039">
      <w:pPr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Renato Pereira Monteiro</w:t>
      </w:r>
    </w:p>
    <w:p w:rsidR="00000000" w:rsidDel="00000000" w:rsidP="00000000" w:rsidRDefault="00000000" w:rsidRPr="00000000" w14:paraId="0000003B">
      <w:pPr>
        <w:jc w:val="center"/>
        <w:rPr/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Diretor de Planejamento e Obras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1"/>
      <w:tblW w:w="9708.0" w:type="dxa"/>
      <w:jc w:val="left"/>
      <w:tblInd w:w="0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763"/>
      <w:gridCol w:w="4110"/>
      <w:gridCol w:w="2835"/>
      <w:tblGridChange w:id="0">
        <w:tblGrid>
          <w:gridCol w:w="2763"/>
          <w:gridCol w:w="4110"/>
          <w:gridCol w:w="2835"/>
        </w:tblGrid>
      </w:tblGridChange>
    </w:tblGrid>
    <w:tr>
      <w:tc>
        <w:tcPr>
          <w:tcBorders>
            <w:top w:color="000000" w:space="0" w:sz="0" w:val="nil"/>
            <w:left w:color="000000" w:space="0" w:sz="0" w:val="nil"/>
            <w:bottom w:color="000000" w:space="0" w:sz="4" w:val="single"/>
            <w:right w:color="000000" w:space="0" w:sz="0" w:val="nil"/>
          </w:tcBorders>
          <w:shd w:fill="auto" w:val="clear"/>
        </w:tcPr>
        <w:p w:rsidR="00000000" w:rsidDel="00000000" w:rsidP="00000000" w:rsidRDefault="00000000" w:rsidRPr="00000000" w14:paraId="0000003D">
          <w:pPr>
            <w:rPr/>
          </w:pPr>
          <w:r w:rsidDel="00000000" w:rsidR="00000000" w:rsidRPr="00000000">
            <w:rPr>
              <w:rtl w:val="0"/>
            </w:rPr>
          </w:r>
        </w:p>
        <w:tbl>
          <w:tblPr>
            <w:tblStyle w:val="Table2"/>
            <w:tblW w:w="2537.0" w:type="dxa"/>
            <w:jc w:val="left"/>
            <w:tbl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  <w:insideH w:color="000000" w:space="0" w:sz="4" w:val="single"/>
              <w:insideV w:color="000000" w:space="0" w:sz="4" w:val="single"/>
            </w:tblBorders>
            <w:tblLayout w:type="fixed"/>
            <w:tblLook w:val="0400"/>
          </w:tblPr>
          <w:tblGrid>
            <w:gridCol w:w="1260"/>
            <w:gridCol w:w="1277"/>
            <w:tblGridChange w:id="0">
              <w:tblGrid>
                <w:gridCol w:w="1260"/>
                <w:gridCol w:w="1277"/>
              </w:tblGrid>
            </w:tblGridChange>
          </w:tblGrid>
          <w:tr>
            <w:tc>
              <w:tcPr>
                <w:gridSpan w:val="2"/>
                <w:shd w:fill="auto" w:val="clear"/>
                <w:tcMar>
                  <w:left w:w="103.0" w:type="dxa"/>
                </w:tcMar>
              </w:tcPr>
              <w:p w:rsidR="00000000" w:rsidDel="00000000" w:rsidP="00000000" w:rsidRDefault="00000000" w:rsidRPr="00000000" w14:paraId="0000003E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tabs>
                    <w:tab w:val="center" w:pos="4252"/>
                    <w:tab w:val="right" w:pos="8504"/>
                  </w:tabs>
                  <w:spacing w:after="0" w:before="0" w:line="240" w:lineRule="auto"/>
                  <w:ind w:left="0" w:right="0" w:firstLine="0"/>
                  <w:jc w:val="center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6"/>
                    <w:szCs w:val="16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000000"/>
                    <w:sz w:val="16"/>
                    <w:szCs w:val="16"/>
                    <w:u w:val="none"/>
                    <w:shd w:fill="auto" w:val="clear"/>
                    <w:vertAlign w:val="baseline"/>
                    <w:rtl w:val="0"/>
                  </w:rPr>
                  <w:t xml:space="preserve">IFRS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c>
              <w:tcPr>
                <w:shd w:fill="auto" w:val="clear"/>
                <w:tcMar>
                  <w:left w:w="103.0" w:type="dxa"/>
                </w:tcMar>
              </w:tcPr>
              <w:p w:rsidR="00000000" w:rsidDel="00000000" w:rsidP="00000000" w:rsidRDefault="00000000" w:rsidRPr="00000000" w14:paraId="00000040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tabs>
                    <w:tab w:val="center" w:pos="4252"/>
                    <w:tab w:val="right" w:pos="8504"/>
                  </w:tabs>
                  <w:spacing w:after="0" w:before="0" w:line="240" w:lineRule="auto"/>
                  <w:ind w:left="0" w:right="0" w:firstLine="0"/>
                  <w:jc w:val="left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6"/>
                    <w:szCs w:val="16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6"/>
                    <w:szCs w:val="16"/>
                    <w:u w:val="none"/>
                    <w:shd w:fill="auto" w:val="clear"/>
                    <w:vertAlign w:val="baseline"/>
                    <w:rtl w:val="0"/>
                  </w:rPr>
                  <w:t xml:space="preserve">Fls. nº</w:t>
                </w:r>
              </w:p>
              <w:p w:rsidR="00000000" w:rsidDel="00000000" w:rsidP="00000000" w:rsidRDefault="00000000" w:rsidRPr="00000000" w14:paraId="00000041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tabs>
                    <w:tab w:val="center" w:pos="4252"/>
                    <w:tab w:val="right" w:pos="8504"/>
                  </w:tabs>
                  <w:spacing w:after="0" w:before="0" w:line="240" w:lineRule="auto"/>
                  <w:ind w:left="0" w:right="0" w:firstLine="0"/>
                  <w:jc w:val="left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6"/>
                    <w:szCs w:val="16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left w:w="103.0" w:type="dxa"/>
                </w:tcMar>
              </w:tcPr>
              <w:p w:rsidR="00000000" w:rsidDel="00000000" w:rsidP="00000000" w:rsidRDefault="00000000" w:rsidRPr="00000000" w14:paraId="00000042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tabs>
                    <w:tab w:val="center" w:pos="4252"/>
                    <w:tab w:val="right" w:pos="8504"/>
                  </w:tabs>
                  <w:spacing w:after="0" w:before="0" w:line="240" w:lineRule="auto"/>
                  <w:ind w:left="0" w:right="0" w:firstLine="0"/>
                  <w:jc w:val="left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6"/>
                    <w:szCs w:val="16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6"/>
                    <w:szCs w:val="16"/>
                    <w:u w:val="none"/>
                    <w:shd w:fill="auto" w:val="clear"/>
                    <w:vertAlign w:val="baseline"/>
                    <w:rtl w:val="0"/>
                  </w:rPr>
                  <w:t xml:space="preserve">Rubrica</w:t>
                </w:r>
              </w:p>
            </w:tc>
          </w:tr>
        </w:tbl>
        <w:p w:rsidR="00000000" w:rsidDel="00000000" w:rsidP="00000000" w:rsidRDefault="00000000" w:rsidRPr="00000000" w14:paraId="00000043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4" w:val="single"/>
            <w:right w:color="000000" w:space="0" w:sz="0" w:val="nil"/>
          </w:tcBorders>
          <w:shd w:fill="auto" w:val="clear"/>
        </w:tcPr>
        <w:p w:rsidR="00000000" w:rsidDel="00000000" w:rsidP="00000000" w:rsidRDefault="00000000" w:rsidRPr="00000000" w14:paraId="0000004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742950" cy="742950"/>
                <wp:effectExtent b="0" l="0" r="0" t="0"/>
                <wp:docPr id="6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2950" cy="7429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4" w:val="single"/>
            <w:right w:color="000000" w:space="0" w:sz="0" w:val="nil"/>
          </w:tcBorders>
          <w:shd w:fill="auto" w:val="clear"/>
        </w:tcPr>
        <w:p w:rsidR="00000000" w:rsidDel="00000000" w:rsidP="00000000" w:rsidRDefault="00000000" w:rsidRPr="00000000" w14:paraId="00000045">
          <w:pPr>
            <w:rPr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drawing>
              <wp:anchor allowOverlap="1" behindDoc="0" distB="6985" distT="0" distL="114300" distR="122555" hidden="0" layoutInCell="1" locked="0" relativeHeight="0" simplePos="0">
                <wp:simplePos x="0" y="0"/>
                <wp:positionH relativeFrom="column">
                  <wp:posOffset>514985</wp:posOffset>
                </wp:positionH>
                <wp:positionV relativeFrom="paragraph">
                  <wp:posOffset>26669</wp:posOffset>
                </wp:positionV>
                <wp:extent cx="1249045" cy="678815"/>
                <wp:effectExtent b="0" l="0" r="0" t="0"/>
                <wp:wrapSquare wrapText="bothSides" distB="6985" distT="0" distL="114300" distR="122555"/>
                <wp:docPr descr="logo_reitoria" id="5" name="image1.png"/>
                <a:graphic>
                  <a:graphicData uri="http://schemas.openxmlformats.org/drawingml/2006/picture">
                    <pic:pic>
                      <pic:nvPicPr>
                        <pic:cNvPr descr="logo_reitoria" id="0" name="image1.pn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045" cy="67881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  <w:p w:rsidR="00000000" w:rsidDel="00000000" w:rsidP="00000000" w:rsidRDefault="00000000" w:rsidRPr="00000000" w14:paraId="00000046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  <w:tr>
      <w:tc>
        <w:tcPr>
          <w:gridSpan w:val="3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047">
          <w:pPr>
            <w:spacing w:after="0" w:line="240" w:lineRule="auto"/>
            <w:jc w:val="center"/>
            <w:rPr>
              <w:sz w:val="16"/>
              <w:szCs w:val="16"/>
            </w:rPr>
          </w:pPr>
          <w:r w:rsidDel="00000000" w:rsidR="00000000" w:rsidRPr="00000000">
            <w:rPr>
              <w:sz w:val="16"/>
              <w:szCs w:val="16"/>
              <w:rtl w:val="0"/>
            </w:rPr>
            <w:t xml:space="preserve">Ministério da Educação</w:t>
          </w:r>
        </w:p>
        <w:p w:rsidR="00000000" w:rsidDel="00000000" w:rsidP="00000000" w:rsidRDefault="00000000" w:rsidRPr="00000000" w14:paraId="00000048">
          <w:pPr>
            <w:spacing w:after="0" w:line="240" w:lineRule="auto"/>
            <w:jc w:val="center"/>
            <w:rPr>
              <w:sz w:val="16"/>
              <w:szCs w:val="16"/>
            </w:rPr>
          </w:pPr>
          <w:r w:rsidDel="00000000" w:rsidR="00000000" w:rsidRPr="00000000">
            <w:rPr>
              <w:sz w:val="16"/>
              <w:szCs w:val="16"/>
              <w:rtl w:val="0"/>
            </w:rPr>
            <w:t xml:space="preserve">Secretaria de Educação Profissional e Tecnológica</w:t>
          </w:r>
        </w:p>
        <w:p w:rsidR="00000000" w:rsidDel="00000000" w:rsidP="00000000" w:rsidRDefault="00000000" w:rsidRPr="00000000" w14:paraId="00000049">
          <w:pPr>
            <w:spacing w:after="0" w:line="240" w:lineRule="auto"/>
            <w:jc w:val="center"/>
            <w:rPr>
              <w:sz w:val="16"/>
              <w:szCs w:val="16"/>
            </w:rPr>
          </w:pPr>
          <w:r w:rsidDel="00000000" w:rsidR="00000000" w:rsidRPr="00000000">
            <w:rPr>
              <w:sz w:val="16"/>
              <w:szCs w:val="16"/>
              <w:rtl w:val="0"/>
            </w:rPr>
            <w:t xml:space="preserve">Instituto Federal de Educação, Ciência e Tecnologia do Rio Grande do Sul</w:t>
          </w:r>
        </w:p>
        <w:p w:rsidR="00000000" w:rsidDel="00000000" w:rsidP="00000000" w:rsidRDefault="00000000" w:rsidRPr="00000000" w14:paraId="0000004A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Diretoria de Planejamento e Obras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1068" w:hanging="360"/>
      </w:pPr>
      <w:rPr/>
    </w:lvl>
    <w:lvl w:ilvl="1">
      <w:start w:val="1"/>
      <w:numFmt w:val="lowerLetter"/>
      <w:lvlText w:val="%2."/>
      <w:lvlJc w:val="left"/>
      <w:pPr>
        <w:ind w:left="1788" w:hanging="360"/>
      </w:pPr>
      <w:rPr/>
    </w:lvl>
    <w:lvl w:ilvl="2">
      <w:start w:val="1"/>
      <w:numFmt w:val="lowerRoman"/>
      <w:lvlText w:val="%3."/>
      <w:lvlJc w:val="right"/>
      <w:pPr>
        <w:ind w:left="2508" w:hanging="180"/>
      </w:pPr>
      <w:rPr/>
    </w:lvl>
    <w:lvl w:ilvl="3">
      <w:start w:val="1"/>
      <w:numFmt w:val="decimal"/>
      <w:lvlText w:val="%4."/>
      <w:lvlJc w:val="left"/>
      <w:pPr>
        <w:ind w:left="3228" w:hanging="360"/>
      </w:pPr>
      <w:rPr/>
    </w:lvl>
    <w:lvl w:ilvl="4">
      <w:start w:val="1"/>
      <w:numFmt w:val="lowerLetter"/>
      <w:lvlText w:val="%5."/>
      <w:lvlJc w:val="left"/>
      <w:pPr>
        <w:ind w:left="3948" w:hanging="360"/>
      </w:pPr>
      <w:rPr/>
    </w:lvl>
    <w:lvl w:ilvl="5">
      <w:start w:val="1"/>
      <w:numFmt w:val="lowerRoman"/>
      <w:lvlText w:val="%6."/>
      <w:lvlJc w:val="right"/>
      <w:pPr>
        <w:ind w:left="4668" w:hanging="180"/>
      </w:pPr>
      <w:rPr/>
    </w:lvl>
    <w:lvl w:ilvl="6">
      <w:start w:val="1"/>
      <w:numFmt w:val="decimal"/>
      <w:lvlText w:val="%7."/>
      <w:lvlJc w:val="left"/>
      <w:pPr>
        <w:ind w:left="5388" w:hanging="360"/>
      </w:pPr>
      <w:rPr/>
    </w:lvl>
    <w:lvl w:ilvl="7">
      <w:start w:val="1"/>
      <w:numFmt w:val="lowerLetter"/>
      <w:lvlText w:val="%8."/>
      <w:lvlJc w:val="left"/>
      <w:pPr>
        <w:ind w:left="6108" w:hanging="360"/>
      </w:pPr>
      <w:rPr/>
    </w:lvl>
    <w:lvl w:ilvl="8">
      <w:start w:val="1"/>
      <w:numFmt w:val="lowerRoman"/>
      <w:lvlText w:val="%9."/>
      <w:lvlJc w:val="right"/>
      <w:pPr>
        <w:ind w:left="6828" w:hanging="180"/>
      </w:pPr>
      <w:rPr/>
    </w:lvl>
  </w:abstractNum>
  <w:abstractNum w:abstractNumId="2">
    <w:lvl w:ilvl="0">
      <w:start w:val="1"/>
      <w:numFmt w:val="lowerLetter"/>
      <w:lvlText w:val="%1)"/>
      <w:lvlJc w:val="left"/>
      <w:pPr>
        <w:ind w:left="1065" w:hanging="360"/>
      </w:pPr>
      <w:rPr/>
    </w:lvl>
    <w:lvl w:ilvl="1">
      <w:start w:val="1"/>
      <w:numFmt w:val="lowerLetter"/>
      <w:lvlText w:val="%2."/>
      <w:lvlJc w:val="left"/>
      <w:pPr>
        <w:ind w:left="1785" w:hanging="360"/>
      </w:pPr>
      <w:rPr/>
    </w:lvl>
    <w:lvl w:ilvl="2">
      <w:start w:val="1"/>
      <w:numFmt w:val="lowerRoman"/>
      <w:lvlText w:val="%3."/>
      <w:lvlJc w:val="right"/>
      <w:pPr>
        <w:ind w:left="2505" w:hanging="180"/>
      </w:pPr>
      <w:rPr/>
    </w:lvl>
    <w:lvl w:ilvl="3">
      <w:start w:val="1"/>
      <w:numFmt w:val="decimal"/>
      <w:lvlText w:val="%4."/>
      <w:lvlJc w:val="left"/>
      <w:pPr>
        <w:ind w:left="3225" w:hanging="360"/>
      </w:pPr>
      <w:rPr/>
    </w:lvl>
    <w:lvl w:ilvl="4">
      <w:start w:val="1"/>
      <w:numFmt w:val="lowerLetter"/>
      <w:lvlText w:val="%5."/>
      <w:lvlJc w:val="left"/>
      <w:pPr>
        <w:ind w:left="3945" w:hanging="360"/>
      </w:pPr>
      <w:rPr/>
    </w:lvl>
    <w:lvl w:ilvl="5">
      <w:start w:val="1"/>
      <w:numFmt w:val="lowerRoman"/>
      <w:lvlText w:val="%6."/>
      <w:lvlJc w:val="right"/>
      <w:pPr>
        <w:ind w:left="4665" w:hanging="180"/>
      </w:pPr>
      <w:rPr/>
    </w:lvl>
    <w:lvl w:ilvl="6">
      <w:start w:val="1"/>
      <w:numFmt w:val="decimal"/>
      <w:lvlText w:val="%7."/>
      <w:lvlJc w:val="left"/>
      <w:pPr>
        <w:ind w:left="5385" w:hanging="360"/>
      </w:pPr>
      <w:rPr/>
    </w:lvl>
    <w:lvl w:ilvl="7">
      <w:start w:val="1"/>
      <w:numFmt w:val="lowerLetter"/>
      <w:lvlText w:val="%8."/>
      <w:lvlJc w:val="left"/>
      <w:pPr>
        <w:ind w:left="6105" w:hanging="360"/>
      </w:pPr>
      <w:rPr/>
    </w:lvl>
    <w:lvl w:ilvl="8">
      <w:start w:val="1"/>
      <w:numFmt w:val="lowerRoman"/>
      <w:lvlText w:val="%9."/>
      <w:lvlJc w:val="right"/>
      <w:pPr>
        <w:ind w:left="6825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5E1FCB"/>
    <w:pPr>
      <w:spacing w:after="200" w:line="276" w:lineRule="auto"/>
    </w:p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PargrafodaLista">
    <w:name w:val="List Paragraph"/>
    <w:basedOn w:val="Normal"/>
    <w:link w:val="PargrafodaListaChar"/>
    <w:uiPriority w:val="34"/>
    <w:qFormat w:val="1"/>
    <w:rsid w:val="005E1FCB"/>
    <w:pPr>
      <w:ind w:left="720"/>
      <w:contextualSpacing w:val="1"/>
    </w:pPr>
  </w:style>
  <w:style w:type="character" w:styleId="PargrafodaListaChar" w:customStyle="1">
    <w:name w:val="Parágrafo da Lista Char"/>
    <w:basedOn w:val="Fontepargpadro"/>
    <w:link w:val="PargrafodaLista"/>
    <w:uiPriority w:val="34"/>
    <w:rsid w:val="005E1FCB"/>
  </w:style>
  <w:style w:type="table" w:styleId="Tabelacomgrade">
    <w:name w:val="Table Grid"/>
    <w:basedOn w:val="Tabelanormal"/>
    <w:uiPriority w:val="59"/>
    <w:rsid w:val="005E1FC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Rodap">
    <w:name w:val="footer"/>
    <w:basedOn w:val="Normal"/>
    <w:link w:val="RodapChar"/>
    <w:uiPriority w:val="99"/>
    <w:unhideWhenUsed w:val="1"/>
    <w:rsid w:val="005E1FCB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qFormat w:val="1"/>
    <w:rsid w:val="005E1FCB"/>
  </w:style>
  <w:style w:type="paragraph" w:styleId="Cabealho">
    <w:name w:val="header"/>
    <w:basedOn w:val="Normal"/>
    <w:link w:val="CabealhoChar"/>
    <w:uiPriority w:val="99"/>
    <w:unhideWhenUsed w:val="1"/>
    <w:rsid w:val="000F0B4A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0F0B4A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aMFgx4kwvRIhMNUWrHPuDwivxw==">AMUW2mV8DoQmOJaiFCWH5vneVyeSQJJM6TAxZcoCn3On4R0ffWXfnkbMF2e5ZDtLQ84VObFLe2rLoWayrrIFj+CapTn5Caw0hUumVPnmKmc6FZizysB3ofaY0BXaXZN+WuOjKZyuasboMW8YLFy1gDNXW3PE+o7aqUAiK+xoVp5Hi3OtZwPYbWs=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2019-08-21T19:06:00Z</dcterms:created>
  <dc:creator>Renato Pereira Monteiro</dc:creator>
</cp:coreProperties>
</file>